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318"/>
        </w:tabs>
        <w:adjustRightInd w:val="0"/>
        <w:snapToGrid w:val="0"/>
        <w:spacing w:line="560" w:lineRule="exact"/>
        <w:ind w:right="17" w:rightChars="8" w:firstLine="4"/>
        <w:outlineLvl w:val="0"/>
        <w:rPr>
          <w:rFonts w:ascii="黑体" w:eastAsia="黑体"/>
          <w:sz w:val="32"/>
        </w:rPr>
      </w:pPr>
      <w:bookmarkStart w:id="0" w:name="_GoBack"/>
      <w:r>
        <w:rPr>
          <w:rFonts w:hint="eastAsia" w:ascii="黑体" w:eastAsia="黑体"/>
          <w:sz w:val="32"/>
        </w:rPr>
        <w:t>附件：</w:t>
      </w:r>
    </w:p>
    <w:bookmarkEnd w:id="0"/>
    <w:p>
      <w:pPr>
        <w:widowControl/>
        <w:tabs>
          <w:tab w:val="center" w:pos="4318"/>
        </w:tabs>
        <w:adjustRightInd w:val="0"/>
        <w:snapToGrid w:val="0"/>
        <w:spacing w:after="156" w:afterLines="50" w:line="560" w:lineRule="exact"/>
        <w:ind w:right="17" w:rightChars="8" w:firstLine="6"/>
        <w:jc w:val="center"/>
        <w:outlineLvl w:val="0"/>
        <w:rPr>
          <w:rFonts w:hint="eastAsia" w:ascii="黑体" w:hAnsi="黑体" w:eastAsia="黑体" w:cs="黑体"/>
          <w:spacing w:val="-2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"/>
          <w:kern w:val="0"/>
          <w:sz w:val="36"/>
          <w:szCs w:val="36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pacing w:val="-2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2"/>
          <w:kern w:val="0"/>
          <w:sz w:val="36"/>
          <w:szCs w:val="36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2"/>
          <w:kern w:val="0"/>
          <w:sz w:val="36"/>
          <w:szCs w:val="36"/>
          <w:u w:val="none" w:color="auto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2"/>
          <w:kern w:val="0"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spacing w:val="-2"/>
          <w:kern w:val="0"/>
          <w:sz w:val="36"/>
          <w:szCs w:val="36"/>
          <w:lang w:val="en-US" w:eastAsia="zh-CN"/>
        </w:rPr>
        <w:t>/</w:t>
      </w:r>
      <w:r>
        <w:rPr>
          <w:rFonts w:hint="eastAsia" w:ascii="方正小标宋简体" w:hAnsi="方正小标宋简体" w:eastAsia="方正小标宋简体" w:cs="方正小标宋简体"/>
          <w:spacing w:val="-2"/>
          <w:kern w:val="0"/>
          <w:sz w:val="36"/>
          <w:szCs w:val="36"/>
          <w:lang w:eastAsia="zh-CN"/>
        </w:rPr>
        <w:t>省直单位）入选</w:t>
      </w:r>
      <w:r>
        <w:rPr>
          <w:rFonts w:hint="eastAsia" w:ascii="方正小标宋简体" w:hAnsi="方正小标宋简体" w:eastAsia="方正小标宋简体" w:cs="方正小标宋简体"/>
          <w:spacing w:val="-2"/>
          <w:kern w:val="0"/>
          <w:sz w:val="36"/>
          <w:szCs w:val="36"/>
        </w:rPr>
        <w:t>非物质文化遗产代表性项目</w:t>
      </w:r>
      <w:r>
        <w:rPr>
          <w:rFonts w:hint="eastAsia" w:ascii="方正小标宋简体" w:hAnsi="方正小标宋简体" w:eastAsia="方正小标宋简体" w:cs="方正小标宋简体"/>
          <w:spacing w:val="-2"/>
          <w:kern w:val="0"/>
          <w:sz w:val="36"/>
          <w:szCs w:val="36"/>
          <w:lang w:eastAsia="zh-CN"/>
        </w:rPr>
        <w:t>（中医药相关）统计表</w:t>
      </w:r>
    </w:p>
    <w:tbl>
      <w:tblPr>
        <w:tblStyle w:val="3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70"/>
        <w:gridCol w:w="1380"/>
        <w:gridCol w:w="3315"/>
        <w:gridCol w:w="1914"/>
        <w:gridCol w:w="1776"/>
        <w:gridCol w:w="142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楷体_GB2312" w:hAnsi="楷体_GB2312" w:eastAsia="楷体_GB2312" w:cs="楷体_GB2312"/>
                <w:color w:val="auto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楷体_GB2312" w:hAnsi="楷体_GB2312" w:eastAsia="楷体_GB2312" w:cs="楷体_GB2312"/>
                <w:color w:val="auto"/>
                <w:sz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lang w:eastAsia="zh-CN"/>
              </w:rPr>
              <w:t>非遗</w:t>
            </w: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楷体_GB2312" w:hAnsi="楷体_GB2312" w:eastAsia="楷体_GB2312" w:cs="楷体_GB2312"/>
                <w:color w:val="auto"/>
                <w:sz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lang w:eastAsia="zh-CN"/>
              </w:rPr>
              <w:t>级别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 w:firstLineChars="0"/>
              <w:jc w:val="center"/>
              <w:rPr>
                <w:rFonts w:hint="eastAsia" w:ascii="楷体_GB2312" w:hAnsi="楷体_GB2312" w:eastAsia="楷体_GB2312" w:cs="楷体_GB2312"/>
                <w:color w:val="auto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</w:rPr>
              <w:t>项目</w:t>
            </w:r>
          </w:p>
          <w:p>
            <w:pPr>
              <w:adjustRightInd w:val="0"/>
              <w:snapToGrid w:val="0"/>
              <w:spacing w:line="560" w:lineRule="exact"/>
              <w:ind w:right="17" w:rightChars="8" w:firstLine="4" w:firstLineChars="0"/>
              <w:jc w:val="center"/>
              <w:rPr>
                <w:rFonts w:hint="eastAsia" w:ascii="楷体_GB2312" w:hAnsi="楷体_GB2312" w:eastAsia="楷体_GB2312" w:cs="楷体_GB2312"/>
                <w:color w:val="auto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</w:rPr>
              <w:t>类别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 w:firstLineChars="0"/>
              <w:jc w:val="center"/>
              <w:rPr>
                <w:rFonts w:hint="eastAsia" w:ascii="楷体_GB2312" w:hAnsi="楷体_GB2312" w:eastAsia="楷体_GB2312" w:cs="楷体_GB2312"/>
                <w:color w:val="auto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</w:rPr>
              <w:t>项目名称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 w:firstLineChars="0"/>
              <w:jc w:val="center"/>
              <w:rPr>
                <w:rFonts w:hint="eastAsia" w:ascii="楷体_GB2312" w:hAnsi="楷体_GB2312" w:eastAsia="楷体_GB2312" w:cs="楷体_GB2312"/>
                <w:color w:val="auto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</w:rPr>
              <w:t>申报地区</w:t>
            </w:r>
          </w:p>
          <w:p>
            <w:pPr>
              <w:adjustRightInd w:val="0"/>
              <w:snapToGrid w:val="0"/>
              <w:spacing w:line="560" w:lineRule="exact"/>
              <w:ind w:right="17" w:rightChars="8" w:firstLine="4" w:firstLineChars="0"/>
              <w:jc w:val="center"/>
              <w:rPr>
                <w:rFonts w:hint="eastAsia" w:ascii="楷体_GB2312" w:hAnsi="楷体_GB2312" w:eastAsia="楷体_GB2312" w:cs="楷体_GB2312"/>
                <w:color w:val="auto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</w:rPr>
              <w:t>或单位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 w:firstLineChars="0"/>
              <w:jc w:val="center"/>
              <w:rPr>
                <w:rFonts w:hint="eastAsia" w:ascii="楷体_GB2312" w:hAnsi="楷体_GB2312" w:eastAsia="楷体_GB2312" w:cs="楷体_GB2312"/>
                <w:color w:val="auto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</w:rPr>
              <w:t>保护单位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楷体_GB2312" w:hAnsi="楷体_GB2312" w:eastAsia="楷体_GB2312" w:cs="楷体_GB2312"/>
                <w:color w:val="auto"/>
                <w:sz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lang w:eastAsia="zh-CN"/>
              </w:rPr>
              <w:t>传承人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楷体_GB2312" w:hAnsi="楷体_GB2312" w:eastAsia="楷体_GB2312" w:cs="楷体_GB2312"/>
                <w:color w:val="auto"/>
                <w:sz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</w:rPr>
              <w:t>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lang w:val="en-US" w:eastAsia="zh-CN"/>
              </w:rPr>
              <w:t>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lang w:val="en-US" w:eastAsia="zh-CN"/>
              </w:rPr>
              <w:t>...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宋体" w:hAnsi="宋体" w:eastAsia="宋体" w:cs="宋体"/>
                <w:color w:val="auto"/>
                <w:sz w:val="32"/>
              </w:rPr>
            </w:pPr>
          </w:p>
        </w:tc>
      </w:tr>
    </w:tbl>
    <w:p>
      <w:pPr>
        <w:adjustRightInd w:val="0"/>
        <w:snapToGrid w:val="0"/>
        <w:ind w:right="17" w:rightChars="8" w:firstLine="4"/>
        <w:rPr>
          <w:rFonts w:hint="eastAsia" w:eastAsia="仿宋_GB2312"/>
          <w:sz w:val="24"/>
        </w:rPr>
      </w:pPr>
    </w:p>
    <w:p>
      <w:pPr>
        <w:adjustRightInd w:val="0"/>
        <w:snapToGrid w:val="0"/>
        <w:ind w:right="17" w:rightChars="8" w:firstLine="4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“非遗级别”填写国家级、省级、市级、区县级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adjustRightInd w:val="0"/>
        <w:snapToGrid w:val="0"/>
        <w:ind w:right="17" w:rightChars="8" w:firstLine="4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2.“项目类别”填写民间文学，传统音乐，传统舞蹈，传统戏剧，曲艺，传统体育、游艺与杂技，传统美术，传统技艺，传统医药，民俗。</w:t>
      </w:r>
    </w:p>
    <w:p>
      <w:pPr>
        <w:adjustRightInd w:val="0"/>
        <w:snapToGrid w:val="0"/>
        <w:ind w:right="17" w:rightChars="8" w:firstLine="4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3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</w:rPr>
        <w:t>“申报地区或单位”填写对项目有直接管辖权的基层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文化</w:t>
      </w:r>
      <w:r>
        <w:rPr>
          <w:rFonts w:hint="eastAsia" w:ascii="仿宋_GB2312" w:hAnsi="仿宋_GB2312" w:eastAsia="仿宋_GB2312" w:cs="仿宋_GB2312"/>
          <w:sz w:val="24"/>
        </w:rPr>
        <w:t>主管部门所属的地区。</w:t>
      </w:r>
    </w:p>
    <w:p>
      <w:pPr>
        <w:adjustRightInd w:val="0"/>
        <w:snapToGrid w:val="0"/>
        <w:ind w:right="17" w:rightChars="8" w:firstLine="4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4.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请各市统一汇总当地情况、各省直单位直接报送，务于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2018年3月20日前将本表发至邮箱：</w:t>
      </w:r>
      <w:r>
        <w:rPr>
          <w:rFonts w:hint="eastAsia" w:ascii="仿宋_GB2312" w:hAnsi="仿宋_GB2312" w:eastAsia="仿宋_GB2312" w:cs="仿宋_GB2312"/>
          <w:sz w:val="24"/>
        </w:rPr>
        <w:fldChar w:fldCharType="begin"/>
      </w:r>
      <w:r>
        <w:rPr>
          <w:rFonts w:hint="eastAsia" w:ascii="仿宋_GB2312" w:hAnsi="仿宋_GB2312" w:eastAsia="仿宋_GB2312" w:cs="仿宋_GB2312"/>
          <w:sz w:val="24"/>
        </w:rPr>
        <w:instrText xml:space="preserve"> HYPERLINK "mailto:zhongyijuzonghe@hebwst.gov.cn" </w:instrText>
      </w:r>
      <w:r>
        <w:rPr>
          <w:rFonts w:hint="eastAsia" w:ascii="仿宋_GB2312" w:hAnsi="仿宋_GB2312" w:eastAsia="仿宋_GB2312" w:cs="仿宋_GB2312"/>
          <w:sz w:val="24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</w:rPr>
        <w:t>zhongyijuzonghe@hebwst.gov.cn</w:t>
      </w:r>
      <w:r>
        <w:rPr>
          <w:rFonts w:hint="eastAsia" w:ascii="仿宋_GB2312" w:hAnsi="仿宋_GB2312" w:eastAsia="仿宋_GB2312" w:cs="仿宋_GB2312"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p/>
    <w:sectPr>
      <w:pgSz w:w="16838" w:h="11906" w:orient="landscape"/>
      <w:pgMar w:top="1797" w:right="1440" w:bottom="1797" w:left="1440" w:header="907" w:footer="1247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C6FA7"/>
    <w:rsid w:val="68BC6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2018-03-13T03:47:00Z</dcterms:created>
  <dc:creator>齐晓萌</dc:creator>
  <cp:lastModifiedBy>齐晓萌</cp:lastModifiedBy>
  <dcterms:modified xsi:type="dcterms:W3CDTF">2018-03-13T03:48:05Z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